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ED3DB2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A70DF8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11.10.2018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1614-ра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развития муницип</w:t>
      </w:r>
      <w:bookmarkStart w:id="0" w:name="_GoBack"/>
      <w:bookmarkEnd w:id="0"/>
      <w:r w:rsidRPr="00884FF2">
        <w:rPr>
          <w:b w:val="0"/>
          <w:sz w:val="28"/>
          <w:szCs w:val="28"/>
        </w:rPr>
        <w:t xml:space="preserve">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2019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3C5ECD" w:rsidP="003C5ECD">
      <w:pPr>
        <w:pStyle w:val="a6"/>
        <w:tabs>
          <w:tab w:val="left" w:pos="3675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E24CF" w:rsidRPr="00884FF2" w:rsidRDefault="000E24CF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201</w:t>
      </w:r>
      <w:r w:rsidR="00C2585F" w:rsidRPr="00884FF2">
        <w:rPr>
          <w:b w:val="0"/>
          <w:sz w:val="28"/>
          <w:szCs w:val="28"/>
        </w:rPr>
        <w:t xml:space="preserve">9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2019 год и плановый период 2020 2021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комитета по финансам Стефогло В.В.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C2585F" w:rsidP="00003EA8">
      <w:pPr>
        <w:pStyle w:val="a5"/>
        <w:rPr>
          <w:sz w:val="28"/>
          <w:szCs w:val="28"/>
        </w:rPr>
      </w:pPr>
      <w:r w:rsidRPr="00884FF2">
        <w:rPr>
          <w:sz w:val="28"/>
          <w:szCs w:val="28"/>
        </w:rPr>
        <w:t>И.о. главы</w:t>
      </w:r>
      <w:r w:rsidR="00E626B1" w:rsidRPr="00884FF2">
        <w:rPr>
          <w:sz w:val="28"/>
          <w:szCs w:val="28"/>
        </w:rPr>
        <w:t xml:space="preserve"> </w:t>
      </w:r>
      <w:r w:rsidRPr="00884FF2">
        <w:rPr>
          <w:sz w:val="28"/>
          <w:szCs w:val="28"/>
        </w:rPr>
        <w:t>города Пыть-Яха</w:t>
      </w:r>
      <w:r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A70DF8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от 11.10.2018 № 1614-ра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Прогноз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 социально-экономического развития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на 2019 год и плановый период до 2024 года</w:t>
      </w: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t>2018 год</w:t>
      </w:r>
    </w:p>
    <w:p w:rsidR="0039296E" w:rsidRDefault="0039296E" w:rsidP="00152F85">
      <w:pPr>
        <w:jc w:val="center"/>
        <w:rPr>
          <w:sz w:val="26"/>
          <w:szCs w:val="26"/>
        </w:rPr>
      </w:pPr>
    </w:p>
    <w:p w:rsidR="0039296E" w:rsidRDefault="0039296E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lastRenderedPageBreak/>
        <w:t>Содержание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44"/>
        <w:gridCol w:w="1994"/>
      </w:tblGrid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bCs/>
                <w:sz w:val="28"/>
                <w:szCs w:val="28"/>
              </w:rPr>
              <w:t>Общая оценка социально-экономической ситуации в муниципальном образовании за отчетный период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1. Промышленное производство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2. Инвестиции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3. Строительство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4. Потребительский рынок 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5. Уровень жизни населения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6. Труд и занятость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7. Демография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8. Бюджет муниципального образования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152F85" w:rsidRPr="00152F85" w:rsidTr="006802CE">
        <w:trPr>
          <w:trHeight w:val="625"/>
        </w:trPr>
        <w:tc>
          <w:tcPr>
            <w:tcW w:w="7811" w:type="dxa"/>
          </w:tcPr>
          <w:p w:rsidR="00152F85" w:rsidRPr="000E24CF" w:rsidRDefault="00BD0619" w:rsidP="000E24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152F85" w:rsidRPr="000E24CF">
              <w:rPr>
                <w:sz w:val="28"/>
                <w:szCs w:val="28"/>
              </w:rPr>
              <w:t xml:space="preserve">Перечень основных проблемных вопросов развития муниципального образования, сдерживающих его социально-экономическое развитие                                           </w:t>
            </w:r>
          </w:p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2</w:t>
            </w:r>
            <w:r w:rsidR="0039296E">
              <w:rPr>
                <w:sz w:val="26"/>
                <w:szCs w:val="26"/>
              </w:rPr>
              <w:t>0</w:t>
            </w:r>
          </w:p>
        </w:tc>
      </w:tr>
    </w:tbl>
    <w:p w:rsidR="00152F85" w:rsidRPr="00152F85" w:rsidRDefault="00152F85" w:rsidP="00152F85">
      <w:pPr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Start w:id="1" w:name="_Toc136336773"/>
      <w:r w:rsidRPr="000E24CF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2019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152F85" w:rsidRPr="000E24CF" w:rsidRDefault="00152F85" w:rsidP="000E24CF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2017 год, за 1 квартал 2018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End w:id="1"/>
      <w:r w:rsidRPr="000E24CF">
        <w:rPr>
          <w:sz w:val="28"/>
          <w:szCs w:val="28"/>
        </w:rPr>
        <w:t xml:space="preserve"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</w:t>
      </w:r>
      <w:r w:rsidRPr="000E24CF">
        <w:rPr>
          <w:sz w:val="28"/>
          <w:szCs w:val="28"/>
        </w:rPr>
        <w:lastRenderedPageBreak/>
        <w:t>для формирования базового варианта развития экономики на период до 2024 года.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Прогноз социально-экономического развития города Пыть-Ях на 2019 год и плановый период до 2024 года выполнен в двух вариантах, первый вариант - базовый, второй вариант - целевой.</w:t>
      </w:r>
    </w:p>
    <w:p w:rsidR="00152F85" w:rsidRPr="000E24CF" w:rsidRDefault="00152F85" w:rsidP="000E24CF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Общая оценка социально-экономической ситуации</w:t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в муниципальном образовании за отчетный период.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67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152F85" w:rsidRPr="00152F85" w:rsidRDefault="00152F85" w:rsidP="00152F85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5"/>
        <w:gridCol w:w="2054"/>
      </w:tblGrid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2017 год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2018 год </w:t>
            </w:r>
          </w:p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2"/>
                <w:szCs w:val="22"/>
              </w:rPr>
              <w:t>(оценка)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152F85">
              <w:rPr>
                <w:bCs/>
                <w:sz w:val="26"/>
                <w:szCs w:val="26"/>
                <w:lang w:val="en-US"/>
              </w:rPr>
              <w:t>CDE</w:t>
            </w:r>
            <w:r w:rsidRPr="00152F85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20,96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23,69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247,69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282,04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2,00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2,14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26,79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25,00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4,32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3,97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6,03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1,85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152F85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5,47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94,70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100,10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59 888,5</w:t>
            </w:r>
          </w:p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62 044,49</w:t>
            </w:r>
          </w:p>
        </w:tc>
      </w:tr>
    </w:tbl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0E24CF" w:rsidRDefault="00152F85" w:rsidP="000E24CF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Промышленность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2017 году. Оценка ожидаемых объемов отгруженных товаров в 2018 году осуществлена на </w:t>
      </w:r>
      <w:r w:rsidRPr="000E24CF">
        <w:rPr>
          <w:sz w:val="28"/>
          <w:szCs w:val="28"/>
        </w:rPr>
        <w:lastRenderedPageBreak/>
        <w:t>основании статистических данных, а также информации, полученной непосредственно от хозяйствующих субъектов.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 xml:space="preserve">За 2017 год предприятиями промышленности отгружено товаров собственного производства на сумму 20,96 млрд. руб., что составляет 66,9% от общегородского выпуска товаров и услуг за год (31,80 млрд. руб.).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В 2018 году планируется производство товаров и услуг промышленного производства на 23,69 млрд. руб. (индекс промышленного производства – 103,68%), к 2024 году прогнозируется 26,56 млрд. руб. (индекс 99,1%) по базовому варианту, в том числе по основным направлениям: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добыча полезных ископаемых: в 2018 году 17,81 млрд. руб. (темп роста отгрузки 115,1%, индекс производства 100,00%); к 2024 году – 19,10 млрд. руб. (102,4%, 99,4%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обрабатывающие производства: в 2018 году 4,69 млрд. руб. (темп роста отгрузки 107,4%, индекс производства 100,0%); к 2024 году – 5,94 млрд. руб. (104,5%, 100,3%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обеспечение электрической энергией, газом и паром; кондиционирование воздуха: в 2018 году 0,94 млрд. руб. (темп роста отгрузки 105,3%, индекс производства 100,0%); к 2024 году – 1,21 млрд. руб. (103,9%, 101,1%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загрязнений: в 2018 году 0,25 млрд. руб. (темп роста отгрузки 108,5%, индекс производства 100,0%); к 2024 году – 0,32 млрд. руб. (104,0%, 100,0% соответственно).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0E24CF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0E24CF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0E24CF">
        <w:rPr>
          <w:bCs/>
          <w:sz w:val="28"/>
          <w:szCs w:val="28"/>
        </w:rPr>
        <w:t xml:space="preserve"> АО «СибурТюменьГаз». </w:t>
      </w:r>
      <w:r w:rsidRPr="000E24CF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pacing w:val="4"/>
          <w:position w:val="-2"/>
          <w:sz w:val="28"/>
          <w:szCs w:val="28"/>
        </w:rPr>
        <w:lastRenderedPageBreak/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0E24CF">
        <w:rPr>
          <w:sz w:val="28"/>
          <w:szCs w:val="28"/>
        </w:rPr>
        <w:t xml:space="preserve"> в 2017 году переработано 2,68 млрд. куб.м. (105,9 % к 2016 году), увеличение выработки сухого газа связано с увеличением поставки попутного нефтяного газа. В 2018 году – планируется переработать 2,70 млрд.куб.м, к 2024 году - 2,66 млрд.куб.м.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2017 год предприятием по основному виду деятельности оказано услуг на сумму 1 940,00 млн. руб. (103,5%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лома; производство промышленных газов. Такие как ООО «Юганск Профит – Центр», ООО «Арсенал», завод по производству жидкого азота ООО «НАФТА СИБЕРИАН НАЙТРОДЖЕН» и другие предприятия.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 разделу «О</w:t>
      </w:r>
      <w:r w:rsidRPr="000E24CF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0E24CF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За 2017 год всего потреблено 144,17 млн. кВт. час. электроэнергии (98,3%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Основными потребителями являются население города и прочие потребители (предприятия, организации). Структура потребления электроэнергии в 2017 году сложилась следующим образом: население – 36,6%, прочие потребители – 63,4%.  К 2024 году структура и объем потребления электроэнергии практически не изменятся, потребление увеличится на 0,04% к 2017 году и составит 144,23 млн. кВт.час.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фигурантом </w:t>
      </w:r>
      <w:r w:rsidRPr="000E24CF">
        <w:rPr>
          <w:sz w:val="28"/>
          <w:szCs w:val="28"/>
        </w:rPr>
        <w:lastRenderedPageBreak/>
        <w:t>является МУП «Управление городского хозяйства». За 2017 год распределено 4 180,87 тыс. куб. м воды, в 2024 году прогнозируется распределить 4 578,76 тыс.куб.м., отведено в 2017 году 2 370,94 тыс. куб. м стоков, в 2018 году оценивается 2 551,05 тыс. куб. м стоков, в 2024 году- 2863,17 тыс.куб.м.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0E24CF" w:rsidRDefault="000E24CF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</w:p>
    <w:p w:rsidR="00152F85" w:rsidRPr="000E24CF" w:rsidRDefault="00152F85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  <w:r w:rsidRPr="000E24CF">
        <w:rPr>
          <w:kern w:val="28"/>
          <w:sz w:val="28"/>
          <w:szCs w:val="28"/>
        </w:rPr>
        <w:t>Инвестиции</w:t>
      </w:r>
    </w:p>
    <w:p w:rsidR="00152F85" w:rsidRPr="00152F85" w:rsidRDefault="00152F85" w:rsidP="00152F85">
      <w:pPr>
        <w:tabs>
          <w:tab w:val="left" w:pos="709"/>
        </w:tabs>
        <w:rPr>
          <w:sz w:val="20"/>
          <w:szCs w:val="20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Инвестиционный портфель города Пыть-Яха на протяжении последних лет стабилен, и в основном состоит из инвестиционных вложений в «Добычу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2017 год составил 4 317,06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данным государственной статистики, за 2017 год составил 3 924,60 млн. руб. (рост на 37,16% в действующих и на 32,27% в сопоставимых ценах относительно 2016 года).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Сохранение роста объема инвестиций обусловлено реализацией АО «СибурТюменьГаз» крупного инвестиционного проекта: «Установка глубокой очистки ШФЛУ» (завершение –декабрь 2018г).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Источниками финансирования инвестиций в основной капитал в 2017 году в большей части стали собственные средства (95,22%), доля привлеченных средств составила 4,78%. Бюджетные средства в общем объеме привлеченных средств составили 76,65%.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территории города в 2017 году в рамках инвестиционной программы ОАО «ЮТЭК-Региональные сети» на 2013 - 2017 годы реализуется 6 инвестиционных проектов (6 объектов электроснабжения) общей стоимостью 552,0 млн. руб., за 2017 год инвестировано 143,82 млн. рублей. В 2018 - 2022 годах к реализации планируется инвестировать проекты (реконструкция действующих объектов и строительство новых) на общую сумму 950,65 млн. рублей.</w:t>
      </w:r>
    </w:p>
    <w:p w:rsidR="00152F85" w:rsidRPr="00152F85" w:rsidRDefault="00152F85" w:rsidP="000E24CF">
      <w:pPr>
        <w:tabs>
          <w:tab w:val="num" w:pos="540"/>
          <w:tab w:val="left" w:pos="709"/>
        </w:tabs>
        <w:spacing w:line="360" w:lineRule="auto"/>
        <w:ind w:firstLine="539"/>
        <w:jc w:val="both"/>
        <w:rPr>
          <w:sz w:val="26"/>
          <w:szCs w:val="26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2018 году завершена реализация инвестиционного проекта на реконструкцию объекта «Подстанция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», город Пыть-Ях, 8 микрорайон «Горка». Инвестором выступал ОАО «ЮТЭК – Региональные сети» при поддержке муниципального образования. Общий объем инвестиций на выполнение реконструкции объекта составил 180,30 млн. руб. Проектная мощность объекта «Подстанция силовая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 -</w:t>
      </w:r>
      <w:r w:rsidRPr="00152F85">
        <w:rPr>
          <w:sz w:val="26"/>
          <w:szCs w:val="26"/>
        </w:rPr>
        <w:t xml:space="preserve"> 3,20 МВА, протяженность сетей </w:t>
      </w:r>
      <w:smartTag w:uri="urn:schemas-microsoft-com:office:smarttags" w:element="metricconverter">
        <w:smartTagPr>
          <w:attr w:name="ProductID" w:val="0,10 км"/>
        </w:smartTagPr>
        <w:r w:rsidRPr="00152F85">
          <w:rPr>
            <w:sz w:val="26"/>
            <w:szCs w:val="26"/>
          </w:rPr>
          <w:t>0,10 км</w:t>
        </w:r>
      </w:smartTag>
      <w:r w:rsidRPr="00152F85">
        <w:rPr>
          <w:sz w:val="26"/>
          <w:szCs w:val="26"/>
        </w:rPr>
        <w:t>. Цель инвестиционного проекта - обеспечить надежность электроснабжения города, а потребителей электрической энергии – надежным и качественным электроснабжением. В ближайшей перспективе инвестора - реконструкция действующих электрических подстанций М-3 и М-4.</w:t>
      </w:r>
    </w:p>
    <w:p w:rsidR="00152F85" w:rsidRPr="000E24CF" w:rsidRDefault="00152F85" w:rsidP="000E24CF">
      <w:pPr>
        <w:tabs>
          <w:tab w:val="left" w:pos="426"/>
          <w:tab w:val="left" w:pos="709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</w:t>
      </w:r>
      <w:r w:rsidRPr="000E24CF">
        <w:rPr>
          <w:sz w:val="28"/>
          <w:szCs w:val="28"/>
        </w:rPr>
        <w:tab/>
        <w:t>В 2018 году, по оценке, объем инвестиций в основной капитал за счет всех источников финансирования по крупным и средним предприятиям ожидается в сумме   3 968,73 млн. руб., к 2017 году в сопоставимых ценах составит 87,64%, в 2019 – 2 459,09 млн.руб., к 2018г – 59,01%. Снижение инвестиционного капитала обусловлено завершением реализации масштабного инвестпроекта АО «СибурТюменьГаз» «Установка глубокой очистки ШФЛУ».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Наряду с этим, в ближайшей перспективе прогнозируется значительное вложение инвестиций в следующие направления экономической деятельности города: 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образование: ведется строительство школы-сада на 550 мест, подготовительные работы по строительству школы на 1000 мест;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- жилищно-коммунальная сфера: ведутся работы по передаче объектов тепло-водоснабжения и водоотведения в концессию; прогнозируется </w:t>
      </w:r>
      <w:r w:rsidRPr="000E24CF">
        <w:rPr>
          <w:sz w:val="28"/>
          <w:szCs w:val="28"/>
        </w:rPr>
        <w:lastRenderedPageBreak/>
        <w:t>реконструкция объектов коммунального комплекса «ВОС-3», «ВОС-1 (2 очередь)», строительство КНС в мкр. 6 «Пионерный»;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</w:r>
      <w:r w:rsidRPr="000E24CF">
        <w:rPr>
          <w:bCs/>
          <w:sz w:val="28"/>
          <w:szCs w:val="28"/>
        </w:rPr>
        <w:t xml:space="preserve">По полному кругу предприятий и за счет всех источников финансирования в целом, инвестиции города в </w:t>
      </w:r>
      <w:smartTag w:uri="urn:schemas-microsoft-com:office:smarttags" w:element="metricconverter">
        <w:smartTagPr>
          <w:attr w:name="ProductID" w:val="2020 г"/>
        </w:smartTagPr>
        <w:r w:rsidRPr="000E24CF">
          <w:rPr>
            <w:bCs/>
            <w:sz w:val="28"/>
            <w:szCs w:val="28"/>
          </w:rPr>
          <w:t>2020 г</w:t>
        </w:r>
      </w:smartTag>
      <w:r w:rsidRPr="000E24CF">
        <w:rPr>
          <w:bCs/>
          <w:sz w:val="28"/>
          <w:szCs w:val="28"/>
        </w:rPr>
        <w:t xml:space="preserve">. составят 2 941,06 млн. руб., в </w:t>
      </w:r>
      <w:smartTag w:uri="urn:schemas-microsoft-com:office:smarttags" w:element="metricconverter">
        <w:smartTagPr>
          <w:attr w:name="ProductID" w:val="2024 г"/>
        </w:smartTagPr>
        <w:r w:rsidRPr="000E24CF">
          <w:rPr>
            <w:bCs/>
            <w:sz w:val="28"/>
            <w:szCs w:val="28"/>
          </w:rPr>
          <w:t>2024 г</w:t>
        </w:r>
      </w:smartTag>
      <w:r w:rsidRPr="000E24CF">
        <w:rPr>
          <w:bCs/>
          <w:sz w:val="28"/>
          <w:szCs w:val="28"/>
        </w:rPr>
        <w:t>. – 965,89 млн. руб.  Как и в предыдущие периоды, основную долю инвестиций будут составлять собственные средства предприятий (организаций).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ab/>
      </w:r>
      <w:r w:rsidRPr="000E24CF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является, завершение реализации масштабных промышленных инвестпроектов, продолжение реализации проектов социальной сферы и коммунального хозяйства. </w:t>
      </w:r>
    </w:p>
    <w:p w:rsidR="000E24CF" w:rsidRDefault="000E24CF" w:rsidP="000E24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F85" w:rsidRPr="000E24CF" w:rsidRDefault="00152F85" w:rsidP="000E24CF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</w:rPr>
        <w:t>Строительство</w:t>
      </w: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  <w:r w:rsidRPr="00152F85">
        <w:rPr>
          <w:sz w:val="26"/>
          <w:szCs w:val="26"/>
        </w:rPr>
        <w:tab/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0E24CF">
        <w:rPr>
          <w:sz w:val="28"/>
          <w:szCs w:val="28"/>
        </w:rPr>
        <w:tab/>
        <w:t xml:space="preserve">по чистому виду деятельности «Строительство» за 2017 год выполнены на сумму 1,996 млрд. руб.  (90,4% в сопоставимых ценах относительно 2016 года).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2017 году введено в эксплуатацию </w:t>
      </w:r>
      <w:smartTag w:uri="urn:schemas-microsoft-com:office:smarttags" w:element="metricconverter">
        <w:smartTagPr>
          <w:attr w:name="ProductID" w:val="26 791,6 кв. м"/>
        </w:smartTagPr>
        <w:r w:rsidRPr="000E24CF">
          <w:rPr>
            <w:sz w:val="28"/>
            <w:szCs w:val="28"/>
          </w:rPr>
          <w:t>26 791,6 кв. м</w:t>
        </w:r>
      </w:smartTag>
      <w:r w:rsidRPr="000E24CF">
        <w:rPr>
          <w:sz w:val="28"/>
          <w:szCs w:val="28"/>
        </w:rPr>
        <w:t xml:space="preserve"> жилья - 33 объекта индивидуального жилищного строительства (4 035,7 кв.м.), 4 объекта многоквартирного жилищного строительства (22 755,9 кв.м.).  Годовой план общего объема жилищного строительства (25 000 кв.м.) выполнен на 107,2%. Обеспеченность жильем по итогам 2017 года составила 17,2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2018 году ожидается ввод 25,0 тыс. кв. метров, в 2019 - 2020 годах прогнозируется ввод жилья на уровне 2018 года – 25,0 тыс. кв. метров, в 2021 году – 56,95 тыс.кв. метров, в 2022 -2024 годах – по 20,00 тыс.кв. метров ежегодно.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ab/>
        <w:t>Удельный вес жилых домов, построенных населением, в 2017 году составил 15,38%, в 2018 году оценивается на уровне 4,80%. В прогнозном периоде 2019-2024 годов доля индивидуального жилья в общем объеме ввода будет составлять в пределах 1,5-2,5%.</w:t>
      </w:r>
    </w:p>
    <w:p w:rsidR="00152F85" w:rsidRPr="000E24CF" w:rsidRDefault="00152F85" w:rsidP="000E24C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 состоянию на 01.01.2018 года общая площадь жилищного фонда составила 688,7 тыс. кв. м, увеличившись на 2,9% (19,4 тыс. кв.м.) по сравнению с 2017 годом, увеличение обусловлено интенсивным строительством многоквартирных домов. Из 688,7 тыс.кв. метров жилых помещений – 95,02% составляет благоустроенное и пригодное для проживания жилье (654,4 тыс.кв. метров), 4,98% - ветхий, аварийный и прочий жилищный фонд (34,3 тыс.кв. метров).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 (830,3 тыс.кв. метров). Обеспеченность жильем в 2024 году составит 20,7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Кроме жилищного строительства, в отчетном периоде были введены в эксплуатацию 2 объекта коммерческого назначения, 1 объект административного назначения, 2 объекта прочего назначения.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Потребительский рынок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Розничный товарооборот в 2017 году сложился в пределах 5,74 млрд. рублей при индексе 102,0%, в 2018 году оценивается 6,03 млрд. руб. при индексе 102,9%, к 2024 году оборот торговли составит 7,53 млрд. руб. при индексе 101,2%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31.12.2017 года инфраструктуру потребительского рынка в городе составляют 2 супермаркета, 195 специализированных продовольственных, непродовольственных и универсальных магазинов, а также 50 объектов нестационарной торговли.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rFonts w:eastAsia="Calibri"/>
          <w:sz w:val="28"/>
          <w:szCs w:val="28"/>
        </w:rPr>
        <w:t>На сегодняшний день в городе осуществляют свою деятельность магазины федерального значения – наиболее крупные это магазин «Магнит», «DNS», «</w:t>
      </w:r>
      <w:r w:rsidRPr="000E24CF">
        <w:rPr>
          <w:rFonts w:eastAsia="Calibri"/>
          <w:sz w:val="28"/>
          <w:szCs w:val="28"/>
          <w:lang w:val="en-US"/>
        </w:rPr>
        <w:t>RBT</w:t>
      </w:r>
      <w:r w:rsidRPr="000E24CF">
        <w:rPr>
          <w:rFonts w:eastAsia="Calibri"/>
          <w:sz w:val="28"/>
          <w:szCs w:val="28"/>
        </w:rPr>
        <w:t xml:space="preserve">», «Монетка», «Трешка», «Пятерочка».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Оборот общественного питания в 2017 году сложился в пределах 0,83 млрд. рублей при индексе 102,29%, в 2018 году оценивается 0,87 млрд. руб. при индексе 102,2%, к 2024 году оборот общественного питания составит 1,13 млрд. руб. при индексе 100,9%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Общественное питание на территории города осуществляет 41 предприятие на 3 927 посадочных мест, в том числе: 27 ресторанов, кафе, баров на 2 302 посадочных места, 7 общедоступных столовых и закусочных на 295 посадочных мест, 7 столовых организаций и промышленных предприятий на 1 330 посадочных мест.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Объем платных услуг, предоставленных населению города, в 2018 году оценивается в 1,85 млрд. руб. (индекс 102,2%), в 2019 году прогнозируется в размере 1,94 млрд. руб. (индекс 99,8% по базовому варианту). Потребление услуг в 2024 году прогнозируется на уровне 2,46 млрд. руб., что составит 126,8% к 2019 году ценах соответствующих лет.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103,7% в 2017 году, 102,6% в 2018 году, 103,6% - 104,0% в 2019 -2024 годах.</w:t>
      </w:r>
    </w:p>
    <w:p w:rsidR="00152F85" w:rsidRPr="00152F85" w:rsidRDefault="00152F85" w:rsidP="00152F85">
      <w:pPr>
        <w:ind w:firstLine="709"/>
        <w:jc w:val="center"/>
        <w:rPr>
          <w:bCs/>
          <w:sz w:val="26"/>
          <w:szCs w:val="26"/>
        </w:rPr>
      </w:pPr>
    </w:p>
    <w:p w:rsidR="00152F85" w:rsidRPr="000E24CF" w:rsidRDefault="00152F85" w:rsidP="000E24CF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Уровень жизни населения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Денежные доходы населения в 2017 году составили 17,93 млрд. руб., в 2018 году по оценке составят 18,67 млрд. руб., в 2024 году – 23,9 млрд. руб. по базовому варианту.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2017 году среднедушевые денежные доходы населения составили 36 858,67 рублей в месяц, реальные денежные доходы населения составили 94,7% к 2016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  <w:t>На учете ГУ Управления Пенсионного Фонда РФ в городе Пыть-Ях по состоянию на 01.01.2018 состоит 11 541 пенсионер (102,2% к 2016 году), средний размер назначенных пенсий 19 035,3 рублей или 102,9% к 2017 году (18 492,0 рубля). Средний размер назначенных пенсий</w:t>
      </w:r>
      <w:r w:rsidRPr="000E24CF">
        <w:rPr>
          <w:bCs/>
          <w:sz w:val="28"/>
          <w:szCs w:val="28"/>
        </w:rPr>
        <w:t xml:space="preserve"> в 2018 году оценивается в размере 19 952,0 рубля (104,8% к 2017 году), в 2024 году – 23 138,0 рублей по базовому варианту (113,13% к 2019 году), увеличение среднего размера выплачиваемых пенсий произойдет в связи с проводимой реформой пенсионного обеспечения.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lastRenderedPageBreak/>
        <w:tab/>
      </w:r>
      <w:r w:rsidRPr="000E24CF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152F85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Труд и занятость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конец 2017 года численность рабочей силы составила 25,60 тыс. человек. На 2018 год численность рабочей силы оценивается на уровне 2017 года. В результате увеличения продолжительности здоровой жизни в совокупности с повышением пенсионного возраста возрастет уровень занятых в экономике к 2024 году до 25,87 тыс. человек по базовому варианту (101,05% к 2018 году).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Численность занятых в экономике в 2017 году составила 21,65 тыс. человек населения, в 2018 году оценивается в 21,77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предусматривающие создание постоянных рабочих мест.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2017 году составила 15,19 тыс. человек, в 2019 году, по оценке, - 15,21 тыс. человек (рост 0,13%), к 2024 году – 15,36 тыс. человек (по базовому варианту, рост 1,4% к 2018 году (2018 год – 15,19 тыс.чел.). 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течение 2017 года в КУ ХМАО-Югры «Пыть-Яхский центр занятости населения» поступили сведения от 19 организаций и предприятий о планируемом высвобождении работников – жителей города Пыть-Яха, численность уволенных по причине высвобождения (сокращения) составила 50 человек.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В 2017 году создано 421 новое рабочее место, из них 14 -  постоянных, 407 – временных. По итогам предоставления государственной услуги «Содействие </w:t>
      </w:r>
      <w:r w:rsidRPr="000E24CF">
        <w:rPr>
          <w:sz w:val="28"/>
          <w:szCs w:val="28"/>
        </w:rPr>
        <w:lastRenderedPageBreak/>
        <w:t xml:space="preserve">самозанятости безработных граждан» 15 граждан зарегистрировались в качестве индивидуальных предпринимателей и юридического лица.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Мероприятия государственной программы «Содействие занятости населения в муниципальном образовании городской округ город Пыть-Ях на 2018-2025 годы и на период до 2030 года», реализуемые на территории города, направлены на формирование рациональной структуры занятости населения, повышение конкурентоспособности рабочей силы, развитие профориентации и переподготовки кадров с учетом потребности экономики города. 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Уровень регистрируемой безработицы в 2017 году составил 0,20% (в 2016 году 0,31%), коэффициент напряженности – 0,22 человека на 1 вакантное рабочее место (в 2016 году – 0,66).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2024 году – 0,22% по базовому варианту. </w:t>
      </w:r>
      <w:r w:rsidRPr="000E24CF">
        <w:rPr>
          <w:sz w:val="28"/>
          <w:szCs w:val="28"/>
        </w:rPr>
        <w:tab/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Демография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40,51 тыс. человек (100,0% по базовому варианту к 2018 году). В связи с плавными колебаниями естественного прироста населения и оттоком миграции в 2020-2024 годах среднегодовая численность населения прогнозируется на уровне 40,83 тыс. человек.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естественный прирост населения: в 2017 году – 0,35 тыс. человек, к 2024 году составит 0,49 тыс. человек.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</w:t>
      </w:r>
      <w:r w:rsidRPr="000E24CF">
        <w:rPr>
          <w:sz w:val="28"/>
          <w:szCs w:val="28"/>
        </w:rPr>
        <w:lastRenderedPageBreak/>
        <w:t>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(73,87 лет в 2017 году).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инфраструктурно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2017 году зафиксирован коэффициент миграционной убыли (-)0,84 тысяч человек, в 2018 году оценивается (-) 0,02 тысяч человек. К 2024 году миграционный прирост (убыль) прогнозируется на (-) 0,34 тысяч человек. 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прогнозируемом периоде 2019-2024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E48D1" w:rsidRDefault="00152F85" w:rsidP="000E24CF">
      <w:pPr>
        <w:jc w:val="center"/>
        <w:rPr>
          <w:sz w:val="28"/>
          <w:szCs w:val="28"/>
        </w:rPr>
      </w:pPr>
      <w:r w:rsidRPr="001E48D1">
        <w:rPr>
          <w:sz w:val="28"/>
          <w:szCs w:val="28"/>
        </w:rPr>
        <w:t>Бюджет муниципального образования</w:t>
      </w:r>
    </w:p>
    <w:p w:rsidR="00152F85" w:rsidRPr="0098788D" w:rsidRDefault="00152F85" w:rsidP="00152F85">
      <w:pPr>
        <w:ind w:firstLine="720"/>
        <w:jc w:val="center"/>
        <w:rPr>
          <w:sz w:val="26"/>
          <w:szCs w:val="26"/>
          <w:highlight w:val="yellow"/>
        </w:rPr>
      </w:pP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Доходы бюджета муниципального образования на 2018 год утверждены решением Думы города от 21.12.2017 № 129 «О бюджете города Пыть-Яха на 2018 год и на плановый период 2019 и 2020 годов» в сумме 2 796,8 млн. рублей. С учётом всех внесённых изменений уточнённый объём доходов составил 5 468,1 млн. рублей. Прогнозные показатели на 2019 - 2024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3 062,3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3 403,3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2021 год в сумме 3 357,3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2022 год в сумме 3 388,7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lastRenderedPageBreak/>
        <w:t>- на 2023 год в сумме 3 421,3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2024 год в сумме 3 455,1 млн. рублей (базовый и целевой).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Единый сельскохозяйственный налог – по нормативу 100%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0,1999%.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lastRenderedPageBreak/>
        <w:t>Объем расходов бюджета утвержден</w:t>
      </w:r>
      <w:r w:rsidRPr="004B18A1">
        <w:rPr>
          <w:sz w:val="28"/>
          <w:szCs w:val="28"/>
          <w:lang w:eastAsia="en-US"/>
        </w:rPr>
        <w:t xml:space="preserve"> решением Думы города от 21.12.2017 № 129 «О бюджете города Пыть-Яха на 2018 год и на плановый период 2019 и 2020 годов» в сумме 2 887,5 млн. рублей. С учётом всех внесённых изменений уточнённый объём расходов составил 5 797,4 млн. рублей. Прогнозные показатели на 2019- 2024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3 112,2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3 461,6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2021 годы в сумме 3 413,0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2022 годы в сумме 3 413,6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2023 годы в сумме 3 427,4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2024 годы в сумме 3 455,1 млн. рублей ежегодно (базовый и целевой);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 xml:space="preserve">Расходы предварительно рассчитаны в соответствии с </w:t>
      </w:r>
      <w:r w:rsidRPr="004B18A1">
        <w:rPr>
          <w:rFonts w:eastAsia="Calibri"/>
          <w:sz w:val="28"/>
          <w:szCs w:val="28"/>
          <w:lang w:eastAsia="en-US"/>
        </w:rPr>
        <w:t xml:space="preserve">пунктом 2.3 </w:t>
      </w:r>
      <w:r w:rsidRPr="004B18A1">
        <w:rPr>
          <w:sz w:val="28"/>
          <w:szCs w:val="28"/>
          <w:lang w:eastAsia="en-US"/>
        </w:rPr>
        <w:t>Методических указаний по порядку планирования бюджетных ассигнований бюджета городского округа на 2019 год и на плановый период 2020 и 2021 годов, утверждённых приказом комитета по финансам от 16.07.2018 № 19.  Формирование расходных обязательств бюджета города в проектировках на 2019 год и на плановый период 2020 и 2021 годов основано на подходах, при которых в качестве «базовых» по текущим расходам на 2019-2021 годы приняты утвержденные бюджетные ассигнования на 2018 год.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На 2019-2021 годы включены расходы на бюджетные инвестиции в объекты капитального строительства: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  <w:lang w:eastAsia="en-US"/>
        </w:rPr>
        <w:t>-О</w:t>
      </w:r>
      <w:r w:rsidRPr="004B18A1">
        <w:rPr>
          <w:sz w:val="28"/>
          <w:szCs w:val="28"/>
        </w:rPr>
        <w:t>беспечение земельных участков инженерной и транспортной инфраструктурой в сумме – 69,4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ВОС-1 (2-я очередь) г. Пыть-Ях– 145,0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4B18A1">
          <w:rPr>
            <w:sz w:val="28"/>
            <w:szCs w:val="28"/>
          </w:rPr>
          <w:t>3 г</w:t>
        </w:r>
      </w:smartTag>
      <w:r w:rsidRPr="004B18A1">
        <w:rPr>
          <w:sz w:val="28"/>
          <w:szCs w:val="28"/>
        </w:rPr>
        <w:t>. Пыть-Ях– 626,5 млн. рублей.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</w:rPr>
        <w:t>Кроме того, с 2023 года учтены коэффициенты – дефляторы на 2023 год 0,4%, 2024 год – 0,8% к предыдущему году.</w:t>
      </w:r>
    </w:p>
    <w:p w:rsidR="00152F85" w:rsidRPr="00152F85" w:rsidRDefault="00152F85" w:rsidP="00152F85">
      <w:pPr>
        <w:ind w:firstLine="709"/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152F85" w:rsidRPr="00152F85" w:rsidRDefault="00152F85" w:rsidP="00123396">
      <w:pPr>
        <w:ind w:firstLine="567"/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Основными проблемными вопросами развития города, влияющими на его социально-экономическое развитие, являются: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жилищной сфере – обеспечение инженерными сетями и подъездными </w:t>
      </w:r>
      <w:r w:rsidR="00826B31" w:rsidRPr="000E24CF">
        <w:rPr>
          <w:sz w:val="28"/>
          <w:szCs w:val="28"/>
        </w:rPr>
        <w:t>путями площадок</w:t>
      </w:r>
      <w:r w:rsidRPr="000E24CF">
        <w:rPr>
          <w:sz w:val="28"/>
          <w:szCs w:val="28"/>
        </w:rPr>
        <w:t>, выделенных под МКД и ИЖС, в том числе льготным категориям населения; снос ветхого, аварийного жилья и балочных массивов;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недостаточная обеспеченность учреждений образования кадрами, владеющими современными педагогическими и информационными технологиями;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Прогноз социально-экономического развития города Пыть-Яха на 2019-2024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0E24CF">
          <w:rPr>
            <w:sz w:val="28"/>
            <w:szCs w:val="28"/>
          </w:rPr>
          <w:t>2018 г</w:t>
        </w:r>
      </w:smartTag>
      <w:r w:rsidRPr="000E24CF">
        <w:rPr>
          <w:sz w:val="28"/>
          <w:szCs w:val="28"/>
        </w:rPr>
        <w:t>. № 204 «О национальных целях и стратегических задачах</w:t>
      </w:r>
      <w:r w:rsidR="000E24CF">
        <w:rPr>
          <w:sz w:val="28"/>
          <w:szCs w:val="28"/>
        </w:rPr>
        <w:t xml:space="preserve"> развития Российской Федерации </w:t>
      </w:r>
      <w:r w:rsidRPr="000E24CF">
        <w:rPr>
          <w:sz w:val="28"/>
          <w:szCs w:val="28"/>
        </w:rPr>
        <w:t xml:space="preserve">на период до 2024 года»).  </w:t>
      </w:r>
    </w:p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</w:p>
    <w:p w:rsidR="00152F85" w:rsidRPr="00152F85" w:rsidRDefault="00152F85" w:rsidP="00152F85">
      <w:pPr>
        <w:ind w:firstLine="720"/>
        <w:jc w:val="both"/>
        <w:rPr>
          <w:sz w:val="28"/>
          <w:szCs w:val="28"/>
        </w:rPr>
      </w:pP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F83939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07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B1AA0" w:rsidRPr="00A70DF8" w:rsidRDefault="00A70DF8" w:rsidP="00A70D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A70DF8">
        <w:rPr>
          <w:sz w:val="28"/>
          <w:szCs w:val="28"/>
        </w:rPr>
        <w:t>от 11.10.2018 № 1614-ра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201</w:t>
      </w:r>
      <w:r w:rsidR="00CA1BDE" w:rsidRPr="00884FF2">
        <w:rPr>
          <w:bCs/>
          <w:sz w:val="28"/>
          <w:szCs w:val="28"/>
        </w:rPr>
        <w:t>9 год и на плановый период до 2024 года</w:t>
      </w:r>
    </w:p>
    <w:p w:rsidR="00EF4151" w:rsidRPr="00884FF2" w:rsidRDefault="00EF4151" w:rsidP="00AB1AA0">
      <w:pPr>
        <w:jc w:val="center"/>
        <w:rPr>
          <w:bCs/>
          <w:sz w:val="28"/>
          <w:szCs w:val="28"/>
        </w:rPr>
      </w:pPr>
    </w:p>
    <w:tbl>
      <w:tblPr>
        <w:tblW w:w="162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41"/>
        <w:gridCol w:w="1062"/>
        <w:gridCol w:w="782"/>
        <w:gridCol w:w="848"/>
        <w:gridCol w:w="921"/>
        <w:gridCol w:w="709"/>
        <w:gridCol w:w="821"/>
        <w:gridCol w:w="71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884FF2" w:rsidRPr="00884FF2" w:rsidTr="00F9281D">
        <w:tc>
          <w:tcPr>
            <w:tcW w:w="709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62" w:type="dxa"/>
            <w:vMerge w:val="restart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9630" w:type="dxa"/>
            <w:gridSpan w:val="1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Прогноз</w:t>
            </w:r>
          </w:p>
        </w:tc>
      </w:tr>
      <w:tr w:rsidR="00884FF2" w:rsidRPr="00884FF2" w:rsidTr="00F9281D"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53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5B4046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</w:tr>
      <w:tr w:rsidR="00884FF2" w:rsidRPr="00884FF2" w:rsidTr="00F9281D">
        <w:trPr>
          <w:trHeight w:val="171"/>
        </w:trPr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21" w:type="dxa"/>
            <w:shd w:val="clear" w:color="auto" w:fill="auto"/>
          </w:tcPr>
          <w:p w:rsidR="00BC3FD9" w:rsidRPr="00884FF2" w:rsidRDefault="00BC3FD9" w:rsidP="00FD20EB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871C8" w:rsidRPr="00884FF2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</w:t>
            </w:r>
            <w:r w:rsidR="00BC3FD9" w:rsidRPr="00884FF2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BC3FD9">
            <w:pPr>
              <w:ind w:right="-283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50,55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40,46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41,05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EB0D4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EB0D4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99,25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F97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73,50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74,81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75,25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76,01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76,66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77,43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F80D8C" w:rsidRPr="00884FF2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2. </w:t>
            </w:r>
            <w:r w:rsidR="00F80D8C" w:rsidRPr="00884FF2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F4151" w:rsidRPr="00884FF2" w:rsidRDefault="00B2451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2451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(В+C +D + E)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3012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13 618,66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23 689,81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24 038,21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24 180,15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24 273,20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24 545,22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24 589,54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24 994,21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24 937,74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25 478,76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25 803,55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26 499,76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26 561,92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27 418,68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76A3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  <w:r w:rsidR="009D301C" w:rsidRPr="00884FF2">
              <w:rPr>
                <w:bCs/>
                <w:sz w:val="20"/>
                <w:szCs w:val="20"/>
              </w:rPr>
              <w:t xml:space="preserve"> в сопостав</w:t>
            </w:r>
            <w:r w:rsidR="009D301C" w:rsidRPr="00884FF2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90,71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142,00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103,68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98,23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98,81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98,65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98,86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99,59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99,08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21A67" w:rsidRPr="00884FF2" w:rsidRDefault="00FF4342" w:rsidP="007A637A">
            <w:pPr>
              <w:numPr>
                <w:ilvl w:val="0"/>
                <w:numId w:val="18"/>
              </w:num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РАЗДЕЛ </w:t>
            </w:r>
            <w:r w:rsidR="00BF179F" w:rsidRPr="00884FF2">
              <w:rPr>
                <w:bCs/>
                <w:sz w:val="20"/>
                <w:szCs w:val="20"/>
              </w:rPr>
              <w:t>B: Добыча</w:t>
            </w:r>
            <w:r w:rsidR="00C21A67" w:rsidRPr="00884FF2">
              <w:rPr>
                <w:bCs/>
                <w:sz w:val="20"/>
                <w:szCs w:val="20"/>
              </w:rPr>
              <w:t xml:space="preserve"> полезных ископаемых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1241E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1241E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11 198,37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15 475,38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17 812,17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18 025,91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17 917,11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18 134,07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17 987,70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18 315,41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18 076,46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18 516,88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18 650,78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19 220,52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19 095,04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19 797,13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5A66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15F7E" w:rsidRPr="00884FF2" w:rsidRDefault="00FF434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</w:t>
            </w:r>
            <w:r w:rsidR="005F3B08" w:rsidRPr="00884FF2">
              <w:rPr>
                <w:sz w:val="20"/>
                <w:szCs w:val="20"/>
              </w:rPr>
              <w:t xml:space="preserve"> </w:t>
            </w:r>
            <w:r w:rsidR="005F3B08" w:rsidRPr="00884FF2">
              <w:rPr>
                <w:bCs/>
                <w:sz w:val="20"/>
                <w:szCs w:val="20"/>
              </w:rPr>
              <w:t>РАЗДЕЛ C: Обрабатывающие производства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C6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BF179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1 376,24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4 363,27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4 686,16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4 868,92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4 898,13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5 049,41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5 094,91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5 241,82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5 304,87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5 446,81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5 528,82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5 681,68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5 784,48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5 938,07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6 063,59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942EF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942EF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79,84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73FD9" w:rsidRPr="00884FF2" w:rsidRDefault="00287846" w:rsidP="00287846">
            <w:pPr>
              <w:ind w:left="72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5.РАЗДЕЛ D: Обеспечение электрической энергией, газом и паром; кондиционирование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A6598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924,04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894,43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941,83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991,89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993,87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1 036,65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1 040,79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1 079,19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1 084,58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1 122,40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1 129,14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1 167,34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1 175,52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1 212,91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1 222,63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5.2.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B5019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F5451" w:rsidRPr="00884FF2" w:rsidRDefault="00073FD9" w:rsidP="004F5451">
            <w:pPr>
              <w:ind w:left="36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</w:t>
            </w:r>
            <w:r w:rsidR="00F05697" w:rsidRPr="00884FF2">
              <w:rPr>
                <w:bCs/>
                <w:sz w:val="20"/>
                <w:szCs w:val="20"/>
              </w:rPr>
              <w:t xml:space="preserve"> </w:t>
            </w:r>
            <w:r w:rsidR="004F5451" w:rsidRPr="00884FF2">
              <w:rPr>
                <w:bCs/>
                <w:sz w:val="20"/>
                <w:szCs w:val="20"/>
              </w:rPr>
              <w:t>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8542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120,01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249,66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259,64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262,24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270,03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275,46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280,83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289,34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292,07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319,24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315,90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335,33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B665E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6D3440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7. Сельское хозяйство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45134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45134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211,13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247,00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282,04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300,53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308,15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312,60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324,76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326,45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329,95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336,63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344,60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347,38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5C40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113,64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116,97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115,13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97,97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 Строительство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CA45AB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7A610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 кв. м. в общей площади</w:t>
            </w:r>
          </w:p>
        </w:tc>
        <w:tc>
          <w:tcPr>
            <w:tcW w:w="78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2,70</w:t>
            </w:r>
          </w:p>
        </w:tc>
        <w:tc>
          <w:tcPr>
            <w:tcW w:w="848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26,79</w:t>
            </w:r>
          </w:p>
        </w:tc>
        <w:tc>
          <w:tcPr>
            <w:tcW w:w="9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1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A5767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Удельный вес жилых домов, построенных населением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A5767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15,38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E1714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 Торговля и услуги населению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7B053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5 409,00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6 034,14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6 218,41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6 425,90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6 371,70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6 817,08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6 553,67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7 259,92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6 809,26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7 731,63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7 152,45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8 249,96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7 527,81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8 811,61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F1662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5D2F25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785,10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832,82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873,27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908,23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928,15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986,30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1 048,60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1 031,90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1 118,90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1 080,69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1 195,07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1 134,04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1 278,92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9.4.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2C294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102,29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9.5.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1 640,97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1 853,62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1 938,71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1 981,45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2 028,22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2 114,22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2 123,89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2 258,05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2 228,51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2 416,38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2 338,36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2 585,85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2 456,14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2 769,94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9.6.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121C4" w:rsidRPr="00884FF2" w:rsidRDefault="00C121C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 Инвестиции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10.1.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625D7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625D7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3 156,85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4 317,06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3 968,73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2 459,09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2 477,23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2 941,06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2 974,19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1 339,26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1 362,26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1 299,35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1 325,912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913,05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965,89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1 001,61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10.2.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A6372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A6372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260,49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87,64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59,01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114,56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10.3.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35F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F35F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2 861,24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2 235,54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2 252,03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2 673,69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2 703,81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1 217,51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1 238,42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1 181,22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1 205,37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830,05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858,22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878,09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910,56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10.4.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C3D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Привлеченные средства</w:t>
            </w:r>
            <w:r w:rsidR="00F6626D" w:rsidRPr="00884FF2">
              <w:rPr>
                <w:bCs/>
                <w:sz w:val="20"/>
                <w:szCs w:val="20"/>
              </w:rPr>
              <w:t>,</w:t>
            </w:r>
          </w:p>
          <w:p w:rsidR="00F6626D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0A3EE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206,89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187,51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695299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10.5.</w:t>
            </w:r>
          </w:p>
        </w:tc>
        <w:tc>
          <w:tcPr>
            <w:tcW w:w="2341" w:type="dxa"/>
            <w:shd w:val="clear" w:color="auto" w:fill="auto"/>
          </w:tcPr>
          <w:p w:rsidR="00695299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1062" w:type="dxa"/>
            <w:shd w:val="clear" w:color="auto" w:fill="auto"/>
          </w:tcPr>
          <w:p w:rsidR="00695299" w:rsidRPr="00884FF2" w:rsidRDefault="00F662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54,84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120,21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2D12F8" w:rsidRPr="00884FF2" w:rsidRDefault="002D12F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11. Денежные </w:t>
            </w:r>
            <w:r w:rsidR="00D10C0F" w:rsidRPr="00884FF2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11.1.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FA47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млрд. руб.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17,99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17,93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18,67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19,45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19,48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20,33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21,12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22,21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22,93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24,21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11.2.</w:t>
            </w:r>
          </w:p>
        </w:tc>
        <w:tc>
          <w:tcPr>
            <w:tcW w:w="2341" w:type="dxa"/>
            <w:shd w:val="clear" w:color="auto" w:fill="auto"/>
          </w:tcPr>
          <w:p w:rsidR="00CC7BFC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Среднедушевые денежные доходы </w:t>
            </w:r>
          </w:p>
          <w:p w:rsidR="00B0133D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(в месяц)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36 699,13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36 858,67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37 495,92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38 106,93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38 814,62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39 406,02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40 176,37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40 757,27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41 704,28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42 142,99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43 163,93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43 617,99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44 674,66 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45 101,00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46 238,28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E23CF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11.3.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E23CF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90,06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94,70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11.4.</w:t>
            </w:r>
          </w:p>
        </w:tc>
        <w:tc>
          <w:tcPr>
            <w:tcW w:w="2341" w:type="dxa"/>
            <w:shd w:val="clear" w:color="auto" w:fill="auto"/>
          </w:tcPr>
          <w:p w:rsidR="00317DD3" w:rsidRPr="00884FF2" w:rsidRDefault="00317DD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Среднемесячная номинальная начисленная заработная плата 1 работника</w:t>
            </w:r>
          </w:p>
        </w:tc>
        <w:tc>
          <w:tcPr>
            <w:tcW w:w="1062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53 142,10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59 888,50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62 044,49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64 836,49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65 084,67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67 754,13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68 273,81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70 803,07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71 619,23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73 689,20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75 128,57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77 318,72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78 809,87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80 798,06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82 671,56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11.5.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1623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Средний размер назначенных пенсий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1623AC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18 492,00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19 035,30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19 952,00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20 451,00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20 750,08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20 962,00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21 372,58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21 486,00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21 906,75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22 023,00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22 563,95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22 574,00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23 466,51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23 138,00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24 170,50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11.6.</w:t>
            </w:r>
          </w:p>
        </w:tc>
        <w:tc>
          <w:tcPr>
            <w:tcW w:w="2341" w:type="dxa"/>
            <w:shd w:val="clear" w:color="auto" w:fill="auto"/>
          </w:tcPr>
          <w:p w:rsidR="001623AC" w:rsidRPr="00884FF2" w:rsidRDefault="00526310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Величина прожиточного минимума (в среднем на душу населения в месяц)</w:t>
            </w:r>
          </w:p>
        </w:tc>
        <w:tc>
          <w:tcPr>
            <w:tcW w:w="1062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14 756,50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14 526,00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15 107,04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602CB" w:rsidRPr="00884FF2" w:rsidRDefault="00E602C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12.Труд и занятость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12.1.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5527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занятых в экономике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5527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21,42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21,65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22,04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22,09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12.2.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62279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0,18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12.3.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15D2A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0,084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0,051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0,045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1E7" w:rsidRDefault="000541E7">
      <w:r>
        <w:separator/>
      </w:r>
    </w:p>
  </w:endnote>
  <w:endnote w:type="continuationSeparator" w:id="0">
    <w:p w:rsidR="000541E7" w:rsidRDefault="0005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1E7" w:rsidRDefault="000541E7">
      <w:r>
        <w:separator/>
      </w:r>
    </w:p>
  </w:footnote>
  <w:footnote w:type="continuationSeparator" w:id="0">
    <w:p w:rsidR="000541E7" w:rsidRDefault="0005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286" w:rsidRDefault="00AB7286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7286" w:rsidRDefault="00AB72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C18" w:rsidRDefault="008D0C1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83939">
      <w:rPr>
        <w:noProof/>
      </w:rPr>
      <w:t>328</w:t>
    </w:r>
    <w:r>
      <w:fldChar w:fldCharType="end"/>
    </w:r>
  </w:p>
  <w:p w:rsidR="00AB7286" w:rsidRDefault="00AB72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ECD" w:rsidRDefault="003C5EC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83939">
      <w:rPr>
        <w:noProof/>
      </w:rPr>
      <w:t>327</w:t>
    </w:r>
    <w:r>
      <w:fldChar w:fldCharType="end"/>
    </w:r>
  </w:p>
  <w:p w:rsidR="003C5ECD" w:rsidRDefault="003C5E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1E7"/>
    <w:rsid w:val="00054422"/>
    <w:rsid w:val="00054B6B"/>
    <w:rsid w:val="00056262"/>
    <w:rsid w:val="000635F8"/>
    <w:rsid w:val="000665C6"/>
    <w:rsid w:val="00070BA6"/>
    <w:rsid w:val="00073FD9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66BC"/>
    <w:rsid w:val="000D469B"/>
    <w:rsid w:val="000E02E2"/>
    <w:rsid w:val="000E1714"/>
    <w:rsid w:val="000E1778"/>
    <w:rsid w:val="000E24CF"/>
    <w:rsid w:val="000F3254"/>
    <w:rsid w:val="000F4BBA"/>
    <w:rsid w:val="00114E35"/>
    <w:rsid w:val="00116098"/>
    <w:rsid w:val="00116500"/>
    <w:rsid w:val="00123396"/>
    <w:rsid w:val="001241E4"/>
    <w:rsid w:val="00125D8F"/>
    <w:rsid w:val="00130C37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E48D1"/>
    <w:rsid w:val="001F5AE6"/>
    <w:rsid w:val="002052A5"/>
    <w:rsid w:val="002076BD"/>
    <w:rsid w:val="0022602B"/>
    <w:rsid w:val="002331A0"/>
    <w:rsid w:val="00235B5B"/>
    <w:rsid w:val="00243169"/>
    <w:rsid w:val="00247AAD"/>
    <w:rsid w:val="00252B9D"/>
    <w:rsid w:val="0026317E"/>
    <w:rsid w:val="00265C28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7DD3"/>
    <w:rsid w:val="00324874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809AC"/>
    <w:rsid w:val="003818D0"/>
    <w:rsid w:val="003867CB"/>
    <w:rsid w:val="0039296E"/>
    <w:rsid w:val="003959CA"/>
    <w:rsid w:val="003A4384"/>
    <w:rsid w:val="003A4CB5"/>
    <w:rsid w:val="003A5E0C"/>
    <w:rsid w:val="003B51C6"/>
    <w:rsid w:val="003C0564"/>
    <w:rsid w:val="003C5ECD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18A1"/>
    <w:rsid w:val="004B437E"/>
    <w:rsid w:val="004B73B8"/>
    <w:rsid w:val="004B7E79"/>
    <w:rsid w:val="004C1909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B05E1"/>
    <w:rsid w:val="005B4046"/>
    <w:rsid w:val="005B69F6"/>
    <w:rsid w:val="005C31A6"/>
    <w:rsid w:val="005C40E7"/>
    <w:rsid w:val="005C641F"/>
    <w:rsid w:val="005D2F25"/>
    <w:rsid w:val="005D4641"/>
    <w:rsid w:val="005D53B8"/>
    <w:rsid w:val="005E2277"/>
    <w:rsid w:val="005E643A"/>
    <w:rsid w:val="005E7F4D"/>
    <w:rsid w:val="005F0F94"/>
    <w:rsid w:val="005F33A5"/>
    <w:rsid w:val="005F3B08"/>
    <w:rsid w:val="005F3CB6"/>
    <w:rsid w:val="005F44FB"/>
    <w:rsid w:val="005F79FE"/>
    <w:rsid w:val="00601A25"/>
    <w:rsid w:val="006066A2"/>
    <w:rsid w:val="006117EC"/>
    <w:rsid w:val="00612792"/>
    <w:rsid w:val="00613649"/>
    <w:rsid w:val="00613F0B"/>
    <w:rsid w:val="00614C1E"/>
    <w:rsid w:val="006151D9"/>
    <w:rsid w:val="00616241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52AE"/>
    <w:rsid w:val="0065766B"/>
    <w:rsid w:val="00661F26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6586"/>
    <w:rsid w:val="006D7096"/>
    <w:rsid w:val="006E6304"/>
    <w:rsid w:val="006F1017"/>
    <w:rsid w:val="006F4912"/>
    <w:rsid w:val="00701A0C"/>
    <w:rsid w:val="00707632"/>
    <w:rsid w:val="00713D90"/>
    <w:rsid w:val="00714B15"/>
    <w:rsid w:val="0071748D"/>
    <w:rsid w:val="00720159"/>
    <w:rsid w:val="007253BC"/>
    <w:rsid w:val="007313EE"/>
    <w:rsid w:val="00733AE2"/>
    <w:rsid w:val="007449D2"/>
    <w:rsid w:val="00744C3E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3BFC"/>
    <w:rsid w:val="007B5671"/>
    <w:rsid w:val="007C01FA"/>
    <w:rsid w:val="007C2A2D"/>
    <w:rsid w:val="007D0079"/>
    <w:rsid w:val="007D26DC"/>
    <w:rsid w:val="007D661B"/>
    <w:rsid w:val="007E18C2"/>
    <w:rsid w:val="007E26DC"/>
    <w:rsid w:val="007E5058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0C18"/>
    <w:rsid w:val="008D1384"/>
    <w:rsid w:val="008D3AA5"/>
    <w:rsid w:val="008D6E72"/>
    <w:rsid w:val="008F1A64"/>
    <w:rsid w:val="008F6BF4"/>
    <w:rsid w:val="0090136F"/>
    <w:rsid w:val="00902056"/>
    <w:rsid w:val="00903EB4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8788D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DF8"/>
    <w:rsid w:val="00A72640"/>
    <w:rsid w:val="00A7671F"/>
    <w:rsid w:val="00A824CA"/>
    <w:rsid w:val="00A85FEE"/>
    <w:rsid w:val="00A92EDF"/>
    <w:rsid w:val="00A933B1"/>
    <w:rsid w:val="00A9491D"/>
    <w:rsid w:val="00A97341"/>
    <w:rsid w:val="00AA0BBA"/>
    <w:rsid w:val="00AA3E25"/>
    <w:rsid w:val="00AB1AA0"/>
    <w:rsid w:val="00AB38BA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0619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21C4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1FE0"/>
    <w:rsid w:val="00C56EB7"/>
    <w:rsid w:val="00C60F1B"/>
    <w:rsid w:val="00C73919"/>
    <w:rsid w:val="00C80233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A587B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2F43"/>
    <w:rsid w:val="00E947FF"/>
    <w:rsid w:val="00EB0D44"/>
    <w:rsid w:val="00EB3B09"/>
    <w:rsid w:val="00EC3D3E"/>
    <w:rsid w:val="00EC6D95"/>
    <w:rsid w:val="00EC6E78"/>
    <w:rsid w:val="00ED08C9"/>
    <w:rsid w:val="00ED3DB2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05C2"/>
    <w:rsid w:val="00F35FBC"/>
    <w:rsid w:val="00F6031C"/>
    <w:rsid w:val="00F629D2"/>
    <w:rsid w:val="00F6626D"/>
    <w:rsid w:val="00F731CB"/>
    <w:rsid w:val="00F809AE"/>
    <w:rsid w:val="00F80D8C"/>
    <w:rsid w:val="00F83939"/>
    <w:rsid w:val="00F864C4"/>
    <w:rsid w:val="00F87C2D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6B8D4-82DD-4F4E-B6A5-F9708EC3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3C5E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5273</Words>
  <Characters>34690</Characters>
  <Application>Microsoft Office Word</Application>
  <DocSecurity>0</DocSecurity>
  <Lines>289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 </vt:lpstr>
    </vt:vector>
  </TitlesOfParts>
  <Company/>
  <LinksUpToDate>false</LinksUpToDate>
  <CharactersWithSpaces>39884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3</cp:revision>
  <cp:lastPrinted>2019-02-21T12:04:00Z</cp:lastPrinted>
  <dcterms:created xsi:type="dcterms:W3CDTF">2019-02-21T12:11:00Z</dcterms:created>
  <dcterms:modified xsi:type="dcterms:W3CDTF">2019-02-21T12:13:00Z</dcterms:modified>
</cp:coreProperties>
</file>